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0" w:line="240" w:lineRule="auto"/>
        <w:ind w:right="480"/>
        <w:jc w:val="righ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Číslo dodatku: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0" w:before="480" w:line="240" w:lineRule="auto"/>
        <w:ind w:right="48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Dodatek ke smlouvě o poskytnutí podpory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0" w:before="480" w:line="240" w:lineRule="auto"/>
        <w:ind w:right="48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řešení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projektu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(dále jen „Dodatek“)</w:t>
        <w:br w:type="textWrapping"/>
        <w:t xml:space="preserve">uzavřený mezi těmito smluvními stranami: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Česká republika – Technologická agentura České republiky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se sídlem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Evropská 1692/37, 160 00 Praha 6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IČO: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72050365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zastoupená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Petrem Konvalinkou, předsedou TA ČR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bankovní spojení: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Česká národní banka, Na Příkopě 28, Praha 1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číslo účtu pro poskytování dotací: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000-3125001/0710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jako poskytovatel podpory (dále jen „poskytovatel“) na straně jedné,</w:t>
        <w:br w:type="textWrapping"/>
        <w:br w:type="textWrapping"/>
        <w:t xml:space="preserve">a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se sídlem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zastoupená: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bankovní spojení: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číslo účtu: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jako hlavní příjemce podpory (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dále jen „příjemce“) na straně druhé.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285173" cy="98326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5173" cy="983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0" w:before="0" w:line="240" w:lineRule="auto"/>
        <w:ind w:firstLine="480"/>
        <w:jc w:val="both"/>
        <w:rPr>
          <w:rFonts w:ascii="Calibri" w:cs="Calibri" w:eastAsia="Calibri" w:hAnsi="Calibri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Obě smluvní strany se dohodly na doplnění a změnách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mlouvy o poskytnutí podpory na řešení proj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ektu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TN02xxx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včetně jejích příloh uzavřené mezi poskytovatelem a příjemcem dne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DD. MM. RRRR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 číslem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(dále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jen "Smlouva") následovně: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480"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Článek I.</w:t>
        <w:br w:type="textWrapping"/>
      </w:r>
      <w:r w:rsidDel="00000000" w:rsidR="00000000" w:rsidRPr="00000000">
        <w:rPr>
          <w:b w:val="1"/>
          <w:rtl w:val="0"/>
        </w:rPr>
        <w:t xml:space="preserve">Změna smlouvy o poskytnutí podpory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(1) V článku 2 Výše poskytnuté podpory a uznaných nákladů se mění odstavec 1 takto: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Maximální výše podpory činí xx Kč (slovy: xx korun českých), což je xx % z maximální výše uznaných nákladů. Z toho maximální výše podpory z Národního plánu obnovy činí xx Kč (slovy: xx korun českých).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(2) V článku 2 Výše poskytnuté podpory a uznaných nákladů se mění odstavec 2 takto: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Maximální výše uznaných nákladů projektu je stanovena ve výši xx Kč (slovy: xx  korun českých).  Z toho maximální výše uznaných nákladů financovaných z Národního plánu obnovy je stanovena ve výši xx Kč (slovy: xx  korun českých). Finanční plán </w:t>
      </w:r>
      <w:r w:rsidDel="00000000" w:rsidR="00000000" w:rsidRPr="00000000">
        <w:rPr>
          <w:highlight w:val="yellow"/>
          <w:rtl w:val="0"/>
        </w:rPr>
        <w:t xml:space="preserve">dílčího projektu/dílčích projektů, který/é je/jsou financován/y z </w:t>
      </w:r>
      <w:r w:rsidDel="00000000" w:rsidR="00000000" w:rsidRPr="00000000">
        <w:rPr>
          <w:rtl w:val="0"/>
        </w:rPr>
        <w:t xml:space="preserve">Národní plán obnovy, je obsažen v následující tabulce: 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78.14960629921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700.7874015748032"/>
        <w:gridCol w:w="1700.7874015748032"/>
        <w:gridCol w:w="1700.7874015748032"/>
        <w:gridCol w:w="1700.7874015748032"/>
        <w:tblGridChange w:id="0">
          <w:tblGrid>
            <w:gridCol w:w="2475"/>
            <w:gridCol w:w="1700.7874015748032"/>
            <w:gridCol w:w="1700.7874015748032"/>
            <w:gridCol w:w="1700.7874015748032"/>
            <w:gridCol w:w="1700.78740157480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Položka/rok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Náklady projektu vztažené k NPO celkem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.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Výše podpory z NPO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Výše ostatních zdrojů vztažených k NPO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Tento přehled zohledňuje pouze finanční položky vztažené k dílčím projektům, které naplňují podmínky Národního plánu obnovy („NPO”).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(3) </w:t>
      </w:r>
      <w:r w:rsidDel="00000000" w:rsidR="00000000" w:rsidRPr="00000000">
        <w:rPr>
          <w:rtl w:val="0"/>
        </w:rPr>
        <w:t xml:space="preserve">Článek 4</w:t>
      </w:r>
      <w:r w:rsidDel="00000000" w:rsidR="00000000" w:rsidRPr="00000000">
        <w:rPr>
          <w:rtl w:val="0"/>
        </w:rPr>
        <w:t xml:space="preserve"> Specifické podmínky se nad rámec Smlouvy doplňuje o odstavce  6 až 10, které zní: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“6.  Při prezentaci informací o řešeném dílčím projektu financovaném z Národního plánu obnovy, či o jeho výsledcích v hromadných sdělovacích prostředcích, či jiným způsobem, je příjemce povinen nad rámec postupu stanoveného čl. 4 odst. 2 písm. c) Všeobecných podmínek postupovat rovněž v souladu s podmínkami vizuální identity stanovenými v Metodickém pokynu pro publicitu a komunikaci pro Národní plán obnovy na období 2021-2026.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7. Daň z přidané hodnoty dle zákona č. 235/2004 Sb., o dani z přidané hodnoty, není pro dílčí projekty financované z Národního plánu obnovy uznaným nákladem dílčího projektu, a to ani pro neplátce DPH.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8. Nad rámec Všeobecných podmínek je příjemce povinen dodržovat během realizace dílčího projektu financovaného z Národního plánu obnovy zásadu "významně nepoškozovat" ve smyslu článku 17 Nařízení Evropského parlamentu a Rady (EU) 2020/852 ze dne 18. června 2020 o zřízení rámce pro usnadnění udržitelných investic a o změně nařízení (EU) 2019/2088, tzn. nesmí dojít k porušení ani jednoho z šesti environmentálních cílů a výsledky dílčího projektu budou na úrovni uplatňování technologicky neutrální.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9. Nad rámec Všeobecných podmínek je příjemce povinen učinit veškerá opatření, aby nevznikl střet zájmů ve smyslu článku 61 Nařízení Evropského parlamentu a Rady (EU) 2018/1046 ze dne 18. července 2018, a pokud taková situace nastane, je povinen tuto skutečnost neprodleně oznámit poskytovateli.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10. Povinnost vést oddělenou účetní evidenci pro každý jednotlivý projekt uvedená v čl. 4 odst. 1 písm. e) Všeobecných podmínek se rozšiřuje o povinnost vést oddělenou účetní evidenci pro každý jednotlivý dílčí projekt financovaný z Národního plánu obnovy.”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(4) Smlouva se doplňuje o informaci, že dílč</w:t>
      </w:r>
      <w:r w:rsidDel="00000000" w:rsidR="00000000" w:rsidRPr="00000000">
        <w:rPr>
          <w:rtl w:val="0"/>
        </w:rPr>
        <w:t xml:space="preserve">í projekty financované</w:t>
      </w:r>
      <w:r w:rsidDel="00000000" w:rsidR="00000000" w:rsidRPr="00000000">
        <w:rPr>
          <w:rtl w:val="0"/>
        </w:rPr>
        <w:t xml:space="preserve"> z Národního plánu obnovy projektu </w:t>
      </w:r>
      <w:r w:rsidDel="00000000" w:rsidR="00000000" w:rsidRPr="00000000">
        <w:rPr>
          <w:highlight w:val="yellow"/>
          <w:rtl w:val="0"/>
        </w:rPr>
        <w:t xml:space="preserve">TN02xxx</w:t>
      </w:r>
      <w:r w:rsidDel="00000000" w:rsidR="00000000" w:rsidRPr="00000000">
        <w:rPr>
          <w:rtl w:val="0"/>
        </w:rPr>
        <w:t xml:space="preserve"> jsou: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dílčí projekt s kódem </w:t>
      </w:r>
      <w:r w:rsidDel="00000000" w:rsidR="00000000" w:rsidRPr="00000000">
        <w:rPr>
          <w:highlight w:val="yellow"/>
          <w:rtl w:val="0"/>
        </w:rPr>
        <w:t xml:space="preserve">TN02xx/x,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dílčí projekt s kódem </w:t>
      </w:r>
      <w:r w:rsidDel="00000000" w:rsidR="00000000" w:rsidRPr="00000000">
        <w:rPr>
          <w:highlight w:val="yellow"/>
          <w:rtl w:val="0"/>
        </w:rPr>
        <w:t xml:space="preserve">TN02xx/x.</w:t>
      </w:r>
    </w:p>
    <w:p w:rsidR="00000000" w:rsidDel="00000000" w:rsidP="00000000" w:rsidRDefault="00000000" w:rsidRPr="00000000" w14:paraId="0000002B">
      <w:pPr>
        <w:spacing w:after="240" w:before="48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II.</w:t>
        <w:br w:type="textWrapping"/>
        <w:t xml:space="preserve">Související dokumenty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8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(1) Nedílnou součástí Dodatku je příloha Závazné parametry řešení projektu, které jsou schváleným návrhem projektu ve smyslu § 9 odst. 2 zákona č. 130/2002 Sb., o podpoře výzkumu, experimentálního vývoje a inovací z veřejných prostředků, a obsahují označení hlavního příjemce a dalších účastníků, název a předmět řešení projektu, jméno, příjmení a případné akademické tituly a vědecké hodnosti řešitele, časový plán řešení projektu včetně termínu zahájení a ukončení řešení projektu, cíle projektu a deklarované výsledky projektu, a jejíž součástí je tabulka uznaných nákladů projektu.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480"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Článek III.</w:t>
        <w:br w:type="textWrapping"/>
        <w:t xml:space="preserve">Závěrečné ustanovení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8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(1) Dodatek nabývá platnosti dnem jeho podpisu a účinnosti zveřejněním v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egistru smluv.</w:t>
      </w:r>
    </w:p>
    <w:p w:rsidR="00000000" w:rsidDel="00000000" w:rsidP="00000000" w:rsidRDefault="00000000" w:rsidRPr="00000000" w14:paraId="0000002F">
      <w:pPr>
        <w:spacing w:after="24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(2) Pokud dojde k nabytí účinnosti tohoto Dodatku ke dni pozdějšímu, než je den vydání oznámení o výsledku změnového řízení, bude na náklady spotřebované na řešení projektu mezi těmito dny pohlíženo, jako by se jednalo o náklady spotřebované po nabytí účinnosti tohoto Dodatku.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8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(3) Doba platnosti Dodatku je určena </w:t>
      </w:r>
      <w:r w:rsidDel="00000000" w:rsidR="00000000" w:rsidRPr="00000000">
        <w:rPr>
          <w:rtl w:val="0"/>
        </w:rPr>
        <w:t xml:space="preserve">dobou platnosti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(4) Dodatek se vyhotovuje ve 2 stejnopisech, z nichž poskytovatel a příjemce obdrží po jednom stejnopisu. Každý stejnopis má platnost originálu.</w:t>
      </w:r>
    </w:p>
    <w:p w:rsidR="00000000" w:rsidDel="00000000" w:rsidP="00000000" w:rsidRDefault="00000000" w:rsidRPr="00000000" w14:paraId="00000032">
      <w:pPr>
        <w:spacing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(5) Smluvní strany souhlasí se zveřejněním plného znění tohoto dodatku a smlouvy ve smyslu zákona č. 340/2015 Sb., o zvláštních podmínkách účinnosti některých smluv, uveřejňování těchto smluv a o registru smluv (zákon o registru smluv). Zveřejnění ve smyslu tohoto zákona provede poskytovatel.</w:t>
        <w:br w:type="textWrapping"/>
        <w:br w:type="textWrapping"/>
        <w:t xml:space="preserve">(6) Smluvní strany prohlašují, že si Dodatek přečetly, s jeho obsahem souhlasí a že byl sepsán na základě jejich pravé a svobodné vůle, prosté omylu, a na důkaz toho připojují své podpisy.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48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Podpisy smluvních stran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48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 poskytovatele:</w:t>
      </w:r>
    </w:p>
    <w:tbl>
      <w:tblPr>
        <w:tblStyle w:val="Table2"/>
        <w:tblW w:w="9638.0" w:type="dxa"/>
        <w:jc w:val="left"/>
        <w:tblInd w:w="0.0" w:type="dxa"/>
        <w:tblLayout w:type="fixed"/>
        <w:tblLook w:val="0400"/>
      </w:tblPr>
      <w:tblGrid>
        <w:gridCol w:w="2891"/>
        <w:gridCol w:w="1928"/>
        <w:gridCol w:w="4819"/>
        <w:tblGridChange w:id="0">
          <w:tblGrid>
            <w:gridCol w:w="2891"/>
            <w:gridCol w:w="1928"/>
            <w:gridCol w:w="481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35">
            <w:pPr>
              <w:spacing w:after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 Praze</w:t>
            </w:r>
          </w:p>
        </w:tc>
        <w:tc>
          <w:tcPr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36">
            <w:pPr>
              <w:spacing w:after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</w:t>
            </w:r>
          </w:p>
        </w:tc>
        <w:tc>
          <w:tcPr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38">
            <w:pPr>
              <w:spacing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3A">
            <w:pPr>
              <w:spacing w:after="12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Petr Konvalinka</w:t>
              <w:br w:type="textWrapping"/>
              <w:t xml:space="preserve">Předseda TA ČR</w:t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4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4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48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 příjemce:</w:t>
      </w:r>
    </w:p>
    <w:tbl>
      <w:tblPr>
        <w:tblStyle w:val="Table3"/>
        <w:tblW w:w="9638.0" w:type="dxa"/>
        <w:jc w:val="left"/>
        <w:tblInd w:w="0.0" w:type="dxa"/>
        <w:tblLayout w:type="fixed"/>
        <w:tblLook w:val="0400"/>
      </w:tblPr>
      <w:tblGrid>
        <w:gridCol w:w="2891"/>
        <w:gridCol w:w="1928"/>
        <w:gridCol w:w="4819"/>
        <w:tblGridChange w:id="0">
          <w:tblGrid>
            <w:gridCol w:w="2891"/>
            <w:gridCol w:w="1928"/>
            <w:gridCol w:w="481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3E">
            <w:pPr>
              <w:spacing w:after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</w:t>
            </w:r>
          </w:p>
        </w:tc>
        <w:tc>
          <w:tcPr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3F">
            <w:pPr>
              <w:spacing w:after="1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</w:t>
            </w:r>
          </w:p>
        </w:tc>
        <w:tc>
          <w:tcPr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41">
            <w:pPr>
              <w:spacing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42">
            <w:pPr>
              <w:spacing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8.0" w:type="dxa"/>
              <w:left w:w="72.0" w:type="dxa"/>
              <w:bottom w:w="48.0" w:type="dxa"/>
              <w:right w:w="72.0" w:type="dxa"/>
            </w:tcMar>
          </w:tcPr>
          <w:p w:rsidR="00000000" w:rsidDel="00000000" w:rsidP="00000000" w:rsidRDefault="00000000" w:rsidRPr="00000000" w14:paraId="00000043">
            <w:pPr>
              <w:spacing w:after="12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[NUTNO DOPLNIT]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2552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20"/>
        <w:tab w:val="right" w:pos="9638"/>
      </w:tabs>
      <w:spacing w:before="0" w:line="240" w:lineRule="auto"/>
      <w:jc w:val="center"/>
      <w:rPr>
        <w:rFonts w:ascii="Calibri" w:cs="Calibri" w:eastAsia="Calibri" w:hAnsi="Calibri"/>
        <w:color w:val="000000"/>
        <w:sz w:val="16"/>
        <w:szCs w:val="16"/>
      </w:rPr>
    </w:pPr>
    <w:bookmarkStart w:colFirst="0" w:colLast="0" w:name="_1fob9te" w:id="2"/>
    <w:bookmarkEnd w:id="2"/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F-312,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verze 4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ab/>
      <w:t xml:space="preserve">Strana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ab/>
      <w:t xml:space="preserve">Veřejný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21"/>
        <w:tab w:val="right" w:pos="9636"/>
      </w:tabs>
      <w:spacing w:before="0" w:line="240" w:lineRule="auto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F-312, verze 3</w:t>
    </w:r>
    <w:r w:rsidDel="00000000" w:rsidR="00000000" w:rsidRPr="00000000">
      <w:rPr>
        <w:rFonts w:ascii="Calibri" w:cs="Calibri" w:eastAsia="Calibri" w:hAnsi="Calibri"/>
        <w:color w:val="ff0000"/>
        <w:sz w:val="16"/>
        <w:szCs w:val="16"/>
        <w:rtl w:val="0"/>
      </w:rPr>
      <w:tab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Strana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ab/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Veřejný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-733419</wp:posOffset>
          </wp:positionH>
          <wp:positionV relativeFrom="paragraph">
            <wp:posOffset>-1619244</wp:posOffset>
          </wp:positionV>
          <wp:extent cx="1440180" cy="144018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180" cy="1440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-733419</wp:posOffset>
          </wp:positionH>
          <wp:positionV relativeFrom="paragraph">
            <wp:posOffset>-1619244</wp:posOffset>
          </wp:positionV>
          <wp:extent cx="1440180" cy="144018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180" cy="1440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